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19CC2125" w14:textId="3F3381AE" w:rsidR="00E11947" w:rsidRDefault="00BB78BB" w:rsidP="00E11947">
      <w:pPr>
        <w:jc w:val="center"/>
        <w:rPr>
          <w:rFonts w:ascii="Arial" w:hAnsi="Arial" w:cs="Arial"/>
          <w:b/>
          <w:color w:val="007DC5"/>
          <w:sz w:val="36"/>
        </w:rPr>
      </w:pPr>
      <w:r>
        <w:rPr>
          <w:rFonts w:ascii="Arial" w:hAnsi="Arial" w:cs="Arial"/>
          <w:b/>
          <w:color w:val="007DC5"/>
          <w:sz w:val="36"/>
        </w:rPr>
        <w:t xml:space="preserve">  </w:t>
      </w:r>
      <w:r w:rsidR="008C1746">
        <w:rPr>
          <w:rFonts w:ascii="Arial" w:hAnsi="Arial" w:cs="Arial"/>
          <w:b/>
          <w:noProof/>
          <w:color w:val="007DC5"/>
          <w:sz w:val="36"/>
        </w:rPr>
        <w:drawing>
          <wp:inline distT="0" distB="0" distL="0" distR="0" wp14:anchorId="17400051" wp14:editId="054BEBAA">
            <wp:extent cx="1835047" cy="1312356"/>
            <wp:effectExtent l="0" t="0" r="0" b="8890"/>
            <wp:docPr id="1" name="Picture 1" descr="/Volumes/Docs/Publicity /Active/Press Kits for Web Upload/2018/Bentley/Topcon_Press-kit_MAGNET Collage v2/MAGNET_Collage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 /Active/Press Kits for Web Upload/2018/Bentley/Topcon_Press-kit_MAGNET Collage v2/MAGNET_Collage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9826" cy="1337228"/>
                    </a:xfrm>
                    <a:prstGeom prst="rect">
                      <a:avLst/>
                    </a:prstGeom>
                    <a:noFill/>
                    <a:ln>
                      <a:noFill/>
                    </a:ln>
                  </pic:spPr>
                </pic:pic>
              </a:graphicData>
            </a:graphic>
          </wp:inline>
        </w:drawing>
      </w:r>
    </w:p>
    <w:p w14:paraId="46130AE0" w14:textId="77777777" w:rsidR="00F126AE" w:rsidRPr="00F126AE" w:rsidRDefault="00F126AE" w:rsidP="00E11947">
      <w:pPr>
        <w:jc w:val="center"/>
        <w:rPr>
          <w:rFonts w:ascii="Arial" w:hAnsi="Arial" w:cs="Arial"/>
          <w:b/>
          <w:color w:val="007DC5"/>
          <w:sz w:val="18"/>
        </w:rPr>
      </w:pPr>
    </w:p>
    <w:p w14:paraId="149470C9" w14:textId="77777777" w:rsidR="0095420D" w:rsidRPr="0095420D" w:rsidRDefault="0095420D" w:rsidP="0095420D">
      <w:pPr>
        <w:jc w:val="center"/>
        <w:rPr>
          <w:rFonts w:ascii="Arial" w:hAnsi="Arial" w:cs="Arial"/>
          <w:b/>
          <w:color w:val="007DC5"/>
          <w:sz w:val="36"/>
        </w:rPr>
      </w:pPr>
      <w:r w:rsidRPr="0095420D">
        <w:rPr>
          <w:rFonts w:ascii="Arial" w:hAnsi="Arial" w:cs="Arial"/>
          <w:b/>
          <w:color w:val="007DC5"/>
          <w:sz w:val="36"/>
        </w:rPr>
        <w:t>Topcon announces release of next generation all-in-one mass data processing software</w:t>
      </w:r>
    </w:p>
    <w:p w14:paraId="1231747C" w14:textId="77777777" w:rsidR="00C076B8" w:rsidRPr="00E54648" w:rsidRDefault="00C076B8" w:rsidP="00F96246">
      <w:pPr>
        <w:jc w:val="center"/>
        <w:rPr>
          <w:rFonts w:ascii="Arial" w:hAnsi="Arial" w:cs="Arial"/>
          <w:b/>
          <w:color w:val="007AC2"/>
          <w:sz w:val="13"/>
        </w:rPr>
      </w:pPr>
    </w:p>
    <w:p w14:paraId="2F2DF8C1" w14:textId="2DCA8483" w:rsidR="0095420D" w:rsidRPr="00E749F8" w:rsidRDefault="00360FCE" w:rsidP="0095420D">
      <w:pPr>
        <w:rPr>
          <w:rFonts w:ascii="Arial" w:hAnsi="Arial" w:cs="Arial"/>
          <w:sz w:val="21"/>
          <w:szCs w:val="20"/>
        </w:rPr>
      </w:pPr>
      <w:r w:rsidRPr="00E749F8">
        <w:rPr>
          <w:rFonts w:ascii="Arial" w:hAnsi="Arial" w:cs="Arial"/>
          <w:i/>
          <w:sz w:val="21"/>
          <w:szCs w:val="20"/>
        </w:rPr>
        <w:t xml:space="preserve">LIVERMORE, Calif., U.S./ CAPELLE A/D IJSSEL, the Netherlands </w:t>
      </w:r>
      <w:r w:rsidR="00CC164E" w:rsidRPr="00E749F8">
        <w:rPr>
          <w:rFonts w:ascii="Arial" w:hAnsi="Arial" w:cs="Arial"/>
          <w:i/>
          <w:sz w:val="21"/>
          <w:szCs w:val="20"/>
        </w:rPr>
        <w:t>–</w:t>
      </w:r>
      <w:r w:rsidR="001010F9" w:rsidRPr="00E749F8">
        <w:rPr>
          <w:rFonts w:ascii="Arial" w:hAnsi="Arial" w:cs="Arial"/>
          <w:i/>
          <w:sz w:val="21"/>
          <w:szCs w:val="20"/>
        </w:rPr>
        <w:t xml:space="preserve"> </w:t>
      </w:r>
      <w:r w:rsidR="00A232B3">
        <w:rPr>
          <w:rFonts w:ascii="Arial" w:hAnsi="Arial" w:cs="Arial"/>
          <w:i/>
          <w:sz w:val="21"/>
          <w:szCs w:val="20"/>
        </w:rPr>
        <w:t>October 10</w:t>
      </w:r>
      <w:r w:rsidR="00CC164E" w:rsidRPr="00E749F8">
        <w:rPr>
          <w:rFonts w:ascii="Arial" w:hAnsi="Arial" w:cs="Arial"/>
          <w:i/>
          <w:sz w:val="21"/>
          <w:szCs w:val="20"/>
        </w:rPr>
        <w:t xml:space="preserve">, 2018 – </w:t>
      </w:r>
      <w:r w:rsidR="0095420D" w:rsidRPr="00E749F8">
        <w:rPr>
          <w:rFonts w:ascii="Arial" w:hAnsi="Arial" w:cs="Arial"/>
          <w:sz w:val="21"/>
          <w:szCs w:val="20"/>
        </w:rPr>
        <w:t xml:space="preserve">Topcon Positioning Group announces the next generation of its single-environment software for processing, combining, visualizing, and performing analysis of point cloud datasets — </w:t>
      </w:r>
      <w:hyperlink r:id="rId9" w:history="1">
        <w:r w:rsidR="0095420D" w:rsidRPr="00E749F8">
          <w:rPr>
            <w:rStyle w:val="Hyperlink"/>
            <w:rFonts w:ascii="Arial" w:hAnsi="Arial" w:cs="Arial"/>
            <w:sz w:val="21"/>
            <w:szCs w:val="20"/>
          </w:rPr>
          <w:t>MAGNET Collage</w:t>
        </w:r>
      </w:hyperlink>
      <w:r w:rsidR="0095420D" w:rsidRPr="00E749F8">
        <w:rPr>
          <w:rFonts w:ascii="Arial" w:hAnsi="Arial" w:cs="Arial"/>
          <w:sz w:val="21"/>
          <w:szCs w:val="20"/>
        </w:rPr>
        <w:t xml:space="preserve"> version 2. Newly added features specifically enhance horizontal construction workflows.</w:t>
      </w:r>
    </w:p>
    <w:p w14:paraId="11ACD5F0" w14:textId="77777777" w:rsidR="0095420D" w:rsidRPr="00E749F8" w:rsidRDefault="0095420D" w:rsidP="0095420D">
      <w:pPr>
        <w:rPr>
          <w:rFonts w:ascii="Arial" w:hAnsi="Arial" w:cs="Arial"/>
          <w:sz w:val="21"/>
          <w:szCs w:val="20"/>
        </w:rPr>
      </w:pPr>
    </w:p>
    <w:p w14:paraId="2E981927" w14:textId="77777777" w:rsidR="0095420D" w:rsidRPr="00E749F8" w:rsidRDefault="0095420D" w:rsidP="0095420D">
      <w:pPr>
        <w:rPr>
          <w:rFonts w:ascii="Arial" w:hAnsi="Arial" w:cs="Arial"/>
          <w:sz w:val="21"/>
          <w:szCs w:val="20"/>
        </w:rPr>
      </w:pPr>
      <w:r w:rsidRPr="00E749F8">
        <w:rPr>
          <w:rFonts w:ascii="Arial" w:hAnsi="Arial" w:cs="Arial"/>
          <w:sz w:val="21"/>
          <w:szCs w:val="20"/>
        </w:rPr>
        <w:t xml:space="preserve">“MAGNET Collage has a strong foundation with its fast processing speeds and unique ability to </w:t>
      </w:r>
      <w:proofErr w:type="spellStart"/>
      <w:r w:rsidRPr="00E749F8">
        <w:rPr>
          <w:rFonts w:ascii="Arial" w:hAnsi="Arial" w:cs="Arial"/>
          <w:sz w:val="21"/>
          <w:szCs w:val="20"/>
        </w:rPr>
        <w:t>georeference</w:t>
      </w:r>
      <w:proofErr w:type="spellEnd"/>
      <w:r w:rsidRPr="00E749F8">
        <w:rPr>
          <w:rFonts w:ascii="Arial" w:hAnsi="Arial" w:cs="Arial"/>
          <w:sz w:val="21"/>
          <w:szCs w:val="20"/>
        </w:rPr>
        <w:t xml:space="preserve"> and combine 3D construction data from diverse sources. Now, the software is rapidly advancing to include even more deliverables that add value to our earthworks and civil infrastructure professionals,” said Charles </w:t>
      </w:r>
      <w:proofErr w:type="spellStart"/>
      <w:r w:rsidRPr="00E749F8">
        <w:rPr>
          <w:rFonts w:ascii="Arial" w:hAnsi="Arial" w:cs="Arial"/>
          <w:sz w:val="21"/>
          <w:szCs w:val="20"/>
        </w:rPr>
        <w:t>Rihner</w:t>
      </w:r>
      <w:proofErr w:type="spellEnd"/>
      <w:r w:rsidRPr="00E749F8">
        <w:rPr>
          <w:rFonts w:ascii="Arial" w:hAnsi="Arial" w:cs="Arial"/>
          <w:sz w:val="21"/>
          <w:szCs w:val="20"/>
        </w:rPr>
        <w:t>, vice president of planning for Topcon Emerging Business.</w:t>
      </w:r>
    </w:p>
    <w:p w14:paraId="1C09B327" w14:textId="77777777" w:rsidR="0095420D" w:rsidRPr="00E749F8" w:rsidRDefault="0095420D" w:rsidP="0095420D">
      <w:pPr>
        <w:rPr>
          <w:rFonts w:ascii="Arial" w:hAnsi="Arial" w:cs="Arial"/>
          <w:sz w:val="21"/>
          <w:szCs w:val="20"/>
        </w:rPr>
      </w:pPr>
    </w:p>
    <w:p w14:paraId="3B2AABAC" w14:textId="2B60DB1E" w:rsidR="0095420D" w:rsidRPr="00E749F8" w:rsidRDefault="0095420D" w:rsidP="0095420D">
      <w:pPr>
        <w:rPr>
          <w:rFonts w:ascii="Arial" w:hAnsi="Arial" w:cs="Arial"/>
          <w:sz w:val="21"/>
          <w:szCs w:val="20"/>
        </w:rPr>
      </w:pPr>
      <w:r w:rsidRPr="00E749F8">
        <w:rPr>
          <w:rFonts w:ascii="Arial" w:hAnsi="Arial" w:cs="Arial"/>
          <w:sz w:val="21"/>
          <w:szCs w:val="20"/>
        </w:rPr>
        <w:t xml:space="preserve">New features include automated ground surface extraction, point cloud density color mapping, the ability to filter and fill TIN surfaces, TIN inclusion boundaries, alignments, cross section views, and dynamic scan calibration for the </w:t>
      </w:r>
      <w:hyperlink r:id="rId10" w:history="1">
        <w:r w:rsidRPr="00E749F8">
          <w:rPr>
            <w:rStyle w:val="Hyperlink"/>
            <w:rFonts w:ascii="Arial" w:hAnsi="Arial" w:cs="Arial"/>
            <w:sz w:val="21"/>
            <w:szCs w:val="20"/>
          </w:rPr>
          <w:t>IP-S3</w:t>
        </w:r>
      </w:hyperlink>
      <w:r w:rsidRPr="00E749F8">
        <w:rPr>
          <w:rFonts w:ascii="Arial" w:hAnsi="Arial" w:cs="Arial"/>
          <w:sz w:val="21"/>
          <w:szCs w:val="20"/>
        </w:rPr>
        <w:t xml:space="preserve"> mobile mapping system.</w:t>
      </w:r>
      <w:r w:rsidR="00E749F8">
        <w:rPr>
          <w:rFonts w:ascii="Arial" w:hAnsi="Arial" w:cs="Arial"/>
          <w:sz w:val="21"/>
          <w:szCs w:val="20"/>
        </w:rPr>
        <w:t xml:space="preserve"> </w:t>
      </w:r>
      <w:r w:rsidRPr="00E749F8">
        <w:rPr>
          <w:rFonts w:ascii="Arial" w:hAnsi="Arial" w:cs="Arial"/>
          <w:sz w:val="21"/>
          <w:szCs w:val="20"/>
        </w:rPr>
        <w:t xml:space="preserve">“MAGNET Collage improves the accuracy of data capture, and with this enhanced dynamic scan capability, it takes mobile mapping to a new level,” </w:t>
      </w:r>
      <w:proofErr w:type="spellStart"/>
      <w:r w:rsidRPr="00E749F8">
        <w:rPr>
          <w:rFonts w:ascii="Arial" w:hAnsi="Arial" w:cs="Arial"/>
          <w:sz w:val="21"/>
          <w:szCs w:val="20"/>
        </w:rPr>
        <w:t>Rihner</w:t>
      </w:r>
      <w:proofErr w:type="spellEnd"/>
      <w:r w:rsidRPr="00E749F8">
        <w:rPr>
          <w:rFonts w:ascii="Arial" w:hAnsi="Arial" w:cs="Arial"/>
          <w:sz w:val="21"/>
          <w:szCs w:val="20"/>
        </w:rPr>
        <w:t xml:space="preserve"> said.  </w:t>
      </w:r>
    </w:p>
    <w:p w14:paraId="6F08AA6A" w14:textId="77777777" w:rsidR="0095420D" w:rsidRPr="00E749F8" w:rsidRDefault="0095420D" w:rsidP="0095420D">
      <w:pPr>
        <w:rPr>
          <w:rFonts w:ascii="Arial" w:hAnsi="Arial" w:cs="Arial"/>
          <w:sz w:val="21"/>
          <w:szCs w:val="20"/>
        </w:rPr>
      </w:pPr>
    </w:p>
    <w:p w14:paraId="3A7EA8E8" w14:textId="77777777" w:rsidR="0095420D" w:rsidRPr="00E749F8" w:rsidRDefault="0095420D" w:rsidP="0095420D">
      <w:pPr>
        <w:rPr>
          <w:rFonts w:ascii="Arial" w:hAnsi="Arial" w:cs="Arial"/>
          <w:sz w:val="21"/>
          <w:szCs w:val="20"/>
        </w:rPr>
      </w:pPr>
      <w:r w:rsidRPr="00E749F8">
        <w:rPr>
          <w:rFonts w:ascii="Arial" w:hAnsi="Arial" w:cs="Arial"/>
          <w:sz w:val="21"/>
          <w:szCs w:val="20"/>
        </w:rPr>
        <w:t xml:space="preserve">“Now with automated ground surface extraction, operators will be able to easily remove buildings, vegetation, catenaries, cars, people, and other vertical objects from point clouds, and quickly isolate ground surfaces for modeling — potentially cutting data prep time by more than 90 percent,” said </w:t>
      </w:r>
      <w:proofErr w:type="spellStart"/>
      <w:r w:rsidRPr="00E749F8">
        <w:rPr>
          <w:rFonts w:ascii="Arial" w:hAnsi="Arial" w:cs="Arial"/>
          <w:sz w:val="21"/>
          <w:szCs w:val="20"/>
        </w:rPr>
        <w:t>Rihner</w:t>
      </w:r>
      <w:proofErr w:type="spellEnd"/>
      <w:r w:rsidRPr="00E749F8">
        <w:rPr>
          <w:rFonts w:ascii="Arial" w:hAnsi="Arial" w:cs="Arial"/>
          <w:sz w:val="21"/>
          <w:szCs w:val="20"/>
        </w:rPr>
        <w:t xml:space="preserve">. </w:t>
      </w:r>
    </w:p>
    <w:p w14:paraId="2822A4A0" w14:textId="77777777" w:rsidR="0095420D" w:rsidRPr="00E749F8" w:rsidRDefault="0095420D" w:rsidP="0095420D">
      <w:pPr>
        <w:rPr>
          <w:rFonts w:ascii="Arial" w:hAnsi="Arial" w:cs="Arial"/>
          <w:sz w:val="21"/>
          <w:szCs w:val="20"/>
        </w:rPr>
      </w:pPr>
    </w:p>
    <w:p w14:paraId="54124785" w14:textId="77777777" w:rsidR="0095420D" w:rsidRPr="00E749F8" w:rsidRDefault="0095420D" w:rsidP="0095420D">
      <w:pPr>
        <w:rPr>
          <w:rFonts w:ascii="Arial" w:hAnsi="Arial" w:cs="Arial"/>
          <w:sz w:val="21"/>
          <w:szCs w:val="20"/>
        </w:rPr>
      </w:pPr>
      <w:r w:rsidRPr="00E749F8">
        <w:rPr>
          <w:rFonts w:ascii="Arial" w:hAnsi="Arial" w:cs="Arial"/>
          <w:sz w:val="21"/>
          <w:szCs w:val="20"/>
        </w:rPr>
        <w:t xml:space="preserve">Additionally, the MAGNET Collage update includes improvements designed to enhance interoperability with ClearEdge3D, Bentley Systems and Autodesk software. </w:t>
      </w:r>
    </w:p>
    <w:p w14:paraId="5C4E9866" w14:textId="77777777" w:rsidR="0095420D" w:rsidRPr="00E749F8" w:rsidRDefault="0095420D" w:rsidP="0095420D">
      <w:pPr>
        <w:rPr>
          <w:rFonts w:ascii="Arial" w:hAnsi="Arial" w:cs="Arial"/>
          <w:sz w:val="21"/>
          <w:szCs w:val="20"/>
        </w:rPr>
      </w:pPr>
    </w:p>
    <w:p w14:paraId="4E396E26" w14:textId="77777777" w:rsidR="0095420D" w:rsidRPr="00E749F8" w:rsidRDefault="0095420D" w:rsidP="0095420D">
      <w:pPr>
        <w:rPr>
          <w:rFonts w:ascii="Arial" w:hAnsi="Arial" w:cs="Arial"/>
          <w:sz w:val="21"/>
          <w:szCs w:val="20"/>
        </w:rPr>
      </w:pPr>
      <w:r w:rsidRPr="00E749F8">
        <w:rPr>
          <w:rFonts w:ascii="Arial" w:hAnsi="Arial" w:cs="Arial"/>
          <w:sz w:val="21"/>
          <w:szCs w:val="20"/>
        </w:rPr>
        <w:t xml:space="preserve">“The software can export scans to the E57 format for improved compatibility with ClearEdge3D </w:t>
      </w:r>
      <w:proofErr w:type="spellStart"/>
      <w:r w:rsidRPr="00E749F8">
        <w:rPr>
          <w:rFonts w:ascii="Arial" w:hAnsi="Arial" w:cs="Arial"/>
          <w:sz w:val="21"/>
          <w:szCs w:val="20"/>
        </w:rPr>
        <w:t>EdgeWise</w:t>
      </w:r>
      <w:proofErr w:type="spellEnd"/>
      <w:r w:rsidRPr="00E749F8">
        <w:rPr>
          <w:rFonts w:ascii="Arial" w:hAnsi="Arial" w:cs="Arial"/>
          <w:sz w:val="21"/>
          <w:szCs w:val="20"/>
        </w:rPr>
        <w:t xml:space="preserve"> and Verity, as well as Bentley’s </w:t>
      </w:r>
      <w:proofErr w:type="spellStart"/>
      <w:r w:rsidRPr="00E749F8">
        <w:rPr>
          <w:rFonts w:ascii="Arial" w:hAnsi="Arial" w:cs="Arial"/>
          <w:sz w:val="21"/>
          <w:szCs w:val="20"/>
        </w:rPr>
        <w:t>ContextCapture</w:t>
      </w:r>
      <w:proofErr w:type="spellEnd"/>
      <w:r w:rsidRPr="00E749F8">
        <w:rPr>
          <w:rFonts w:ascii="Arial" w:hAnsi="Arial" w:cs="Arial"/>
          <w:sz w:val="21"/>
          <w:szCs w:val="20"/>
        </w:rPr>
        <w:t xml:space="preserve">. Also, new faster exporting to the RCS format improves data transfer with Autodesk </w:t>
      </w:r>
      <w:proofErr w:type="spellStart"/>
      <w:r w:rsidRPr="00E749F8">
        <w:rPr>
          <w:rFonts w:ascii="Arial" w:hAnsi="Arial" w:cs="Arial"/>
          <w:sz w:val="21"/>
          <w:szCs w:val="20"/>
        </w:rPr>
        <w:t>ReCap</w:t>
      </w:r>
      <w:proofErr w:type="spellEnd"/>
      <w:r w:rsidRPr="00E749F8">
        <w:rPr>
          <w:rFonts w:ascii="Arial" w:hAnsi="Arial" w:cs="Arial"/>
          <w:sz w:val="21"/>
          <w:szCs w:val="20"/>
        </w:rPr>
        <w:t xml:space="preserve">,” said </w:t>
      </w:r>
      <w:proofErr w:type="spellStart"/>
      <w:r w:rsidRPr="00E749F8">
        <w:rPr>
          <w:rFonts w:ascii="Arial" w:hAnsi="Arial" w:cs="Arial"/>
          <w:sz w:val="21"/>
          <w:szCs w:val="20"/>
        </w:rPr>
        <w:t>Rihner</w:t>
      </w:r>
      <w:proofErr w:type="spellEnd"/>
      <w:r w:rsidRPr="00E749F8">
        <w:rPr>
          <w:rFonts w:ascii="Arial" w:hAnsi="Arial" w:cs="Arial"/>
          <w:sz w:val="21"/>
          <w:szCs w:val="20"/>
        </w:rPr>
        <w:t xml:space="preserve">. </w:t>
      </w:r>
    </w:p>
    <w:p w14:paraId="0C4393A1" w14:textId="77777777" w:rsidR="0095420D" w:rsidRPr="00E749F8" w:rsidRDefault="0095420D" w:rsidP="0095420D">
      <w:pPr>
        <w:rPr>
          <w:rFonts w:ascii="Arial" w:hAnsi="Arial" w:cs="Arial"/>
          <w:sz w:val="21"/>
          <w:szCs w:val="20"/>
        </w:rPr>
      </w:pPr>
    </w:p>
    <w:p w14:paraId="17834994" w14:textId="77777777" w:rsidR="0095420D" w:rsidRPr="00E749F8" w:rsidRDefault="0095420D" w:rsidP="0095420D">
      <w:pPr>
        <w:rPr>
          <w:rFonts w:ascii="Arial" w:hAnsi="Arial" w:cs="Arial"/>
          <w:bCs/>
          <w:sz w:val="21"/>
          <w:szCs w:val="20"/>
          <w:lang w:val="en-AU"/>
        </w:rPr>
      </w:pPr>
      <w:r w:rsidRPr="00E749F8">
        <w:rPr>
          <w:rFonts w:ascii="Arial" w:hAnsi="Arial" w:cs="Arial"/>
          <w:sz w:val="21"/>
          <w:szCs w:val="20"/>
        </w:rPr>
        <w:t xml:space="preserve">For more information, visit </w:t>
      </w:r>
      <w:hyperlink r:id="rId11" w:history="1">
        <w:r w:rsidRPr="00E749F8">
          <w:rPr>
            <w:rStyle w:val="Hyperlink"/>
            <w:rFonts w:ascii="Arial" w:hAnsi="Arial" w:cs="Arial"/>
            <w:sz w:val="21"/>
            <w:szCs w:val="20"/>
          </w:rPr>
          <w:t>topconpositioning.com</w:t>
        </w:r>
      </w:hyperlink>
      <w:r w:rsidRPr="00E749F8">
        <w:rPr>
          <w:rFonts w:ascii="Arial" w:hAnsi="Arial" w:cs="Arial"/>
          <w:sz w:val="21"/>
          <w:szCs w:val="20"/>
        </w:rPr>
        <w:t>.</w:t>
      </w:r>
    </w:p>
    <w:p w14:paraId="54242483" w14:textId="2B6079D0" w:rsidR="00CC164E" w:rsidRPr="00E749F8" w:rsidRDefault="00CC164E" w:rsidP="0095420D">
      <w:pPr>
        <w:rPr>
          <w:rFonts w:ascii="Arial" w:hAnsi="Arial" w:cs="Arial"/>
          <w:b/>
          <w:color w:val="808080" w:themeColor="background1" w:themeShade="80"/>
          <w:szCs w:val="18"/>
        </w:rPr>
      </w:pPr>
    </w:p>
    <w:p w14:paraId="50EB10BD" w14:textId="64EDFE85" w:rsidR="00452AC9" w:rsidRPr="00E749F8" w:rsidRDefault="003A1037" w:rsidP="00360FCE">
      <w:pPr>
        <w:rPr>
          <w:rFonts w:ascii="Arial" w:hAnsi="Arial" w:cs="Arial"/>
          <w:color w:val="808080" w:themeColor="background1" w:themeShade="80"/>
          <w:sz w:val="15"/>
          <w:szCs w:val="16"/>
        </w:rPr>
      </w:pPr>
      <w:r w:rsidRPr="00E749F8">
        <w:rPr>
          <w:rFonts w:ascii="Arial" w:hAnsi="Arial" w:cs="Arial"/>
          <w:b/>
          <w:color w:val="808080" w:themeColor="background1" w:themeShade="80"/>
          <w:sz w:val="15"/>
          <w:szCs w:val="16"/>
        </w:rPr>
        <w:t xml:space="preserve">About Topcon Positioning Group </w:t>
      </w:r>
      <w:r w:rsidR="00F61E29" w:rsidRPr="00E749F8">
        <w:rPr>
          <w:rFonts w:ascii="Arial" w:hAnsi="Arial" w:cs="Arial"/>
          <w:b/>
          <w:color w:val="808080" w:themeColor="background1" w:themeShade="80"/>
          <w:sz w:val="15"/>
          <w:szCs w:val="16"/>
        </w:rPr>
        <w:br/>
      </w:r>
      <w:r w:rsidR="00CC164E" w:rsidRPr="00E749F8">
        <w:rPr>
          <w:rFonts w:ascii="Arial" w:hAnsi="Arial" w:cs="Arial"/>
          <w:color w:val="808080" w:themeColor="background1" w:themeShade="80"/>
          <w:sz w:val="15"/>
          <w:szCs w:val="16"/>
        </w:rPr>
        <w:t>Topcon Positioning Group is headquartered in Livermore, California, U.S. (</w:t>
      </w:r>
      <w:hyperlink r:id="rId12" w:history="1">
        <w:r w:rsidR="00CC164E" w:rsidRPr="00E749F8">
          <w:rPr>
            <w:rStyle w:val="Hyperlink"/>
            <w:rFonts w:ascii="Arial" w:hAnsi="Arial" w:cs="Arial"/>
            <w:sz w:val="15"/>
            <w:szCs w:val="16"/>
          </w:rPr>
          <w:t>topconpositioning.com</w:t>
        </w:r>
      </w:hyperlink>
      <w:r w:rsidR="00CC164E" w:rsidRPr="00E749F8">
        <w:rPr>
          <w:rFonts w:ascii="Arial" w:hAnsi="Arial" w:cs="Arial"/>
          <w:color w:val="808080" w:themeColor="background1" w:themeShade="80"/>
          <w:sz w:val="15"/>
          <w:szCs w:val="16"/>
        </w:rPr>
        <w:t xml:space="preserve">). Its European head office is in </w:t>
      </w:r>
      <w:proofErr w:type="spellStart"/>
      <w:r w:rsidR="00CC164E" w:rsidRPr="00E749F8">
        <w:rPr>
          <w:rFonts w:ascii="Arial" w:hAnsi="Arial" w:cs="Arial"/>
          <w:color w:val="808080" w:themeColor="background1" w:themeShade="80"/>
          <w:sz w:val="15"/>
          <w:szCs w:val="16"/>
        </w:rPr>
        <w:t>Capelle</w:t>
      </w:r>
      <w:proofErr w:type="spellEnd"/>
      <w:r w:rsidR="00CC164E" w:rsidRPr="00E749F8">
        <w:rPr>
          <w:rFonts w:ascii="Arial" w:hAnsi="Arial" w:cs="Arial"/>
          <w:color w:val="808080" w:themeColor="background1" w:themeShade="80"/>
          <w:sz w:val="15"/>
          <w:szCs w:val="16"/>
        </w:rPr>
        <w:t xml:space="preserve"> </w:t>
      </w:r>
      <w:proofErr w:type="spellStart"/>
      <w:r w:rsidR="00CC164E" w:rsidRPr="00E749F8">
        <w:rPr>
          <w:rFonts w:ascii="Arial" w:hAnsi="Arial" w:cs="Arial"/>
          <w:color w:val="808080" w:themeColor="background1" w:themeShade="80"/>
          <w:sz w:val="15"/>
          <w:szCs w:val="16"/>
        </w:rPr>
        <w:t>a/d</w:t>
      </w:r>
      <w:proofErr w:type="spellEnd"/>
      <w:r w:rsidR="00CC164E" w:rsidRPr="00E749F8">
        <w:rPr>
          <w:rFonts w:ascii="Arial" w:hAnsi="Arial" w:cs="Arial"/>
          <w:color w:val="808080" w:themeColor="background1" w:themeShade="80"/>
          <w:sz w:val="15"/>
          <w:szCs w:val="16"/>
        </w:rPr>
        <w:t xml:space="preserve"> </w:t>
      </w:r>
      <w:proofErr w:type="spellStart"/>
      <w:r w:rsidR="00CC164E" w:rsidRPr="00E749F8">
        <w:rPr>
          <w:rFonts w:ascii="Arial" w:hAnsi="Arial" w:cs="Arial"/>
          <w:color w:val="808080" w:themeColor="background1" w:themeShade="80"/>
          <w:sz w:val="15"/>
          <w:szCs w:val="16"/>
        </w:rPr>
        <w:t>IJssel</w:t>
      </w:r>
      <w:proofErr w:type="spellEnd"/>
      <w:r w:rsidR="00CC164E" w:rsidRPr="00E749F8">
        <w:rPr>
          <w:rFonts w:ascii="Arial" w:hAnsi="Arial" w:cs="Arial"/>
          <w:color w:val="808080" w:themeColor="background1" w:themeShade="80"/>
          <w:sz w:val="15"/>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CC164E" w:rsidRPr="00E749F8">
          <w:rPr>
            <w:rStyle w:val="Hyperlink"/>
            <w:rFonts w:ascii="Arial" w:hAnsi="Arial" w:cs="Arial"/>
            <w:sz w:val="15"/>
            <w:szCs w:val="16"/>
          </w:rPr>
          <w:t>topcon.com</w:t>
        </w:r>
      </w:hyperlink>
      <w:r w:rsidR="00CC164E" w:rsidRPr="00E749F8">
        <w:rPr>
          <w:rFonts w:ascii="Arial" w:hAnsi="Arial" w:cs="Arial"/>
          <w:color w:val="808080" w:themeColor="background1" w:themeShade="80"/>
          <w:sz w:val="15"/>
          <w:szCs w:val="16"/>
        </w:rPr>
        <w:t>), founded in 1932, is traded on the Tokyo Stock Exchange (7732). </w:t>
      </w:r>
    </w:p>
    <w:p w14:paraId="4AADD657" w14:textId="67BBCF25" w:rsidR="00BE666D" w:rsidRPr="00E749F8" w:rsidRDefault="00F61E29" w:rsidP="00F61E29">
      <w:pPr>
        <w:jc w:val="center"/>
        <w:rPr>
          <w:rFonts w:ascii="Arial" w:hAnsi="Arial" w:cs="Arial"/>
          <w:color w:val="808080" w:themeColor="background1" w:themeShade="80"/>
          <w:sz w:val="15"/>
          <w:szCs w:val="16"/>
        </w:rPr>
      </w:pPr>
      <w:r w:rsidRPr="00E749F8">
        <w:rPr>
          <w:rFonts w:ascii="Arial" w:hAnsi="Arial" w:cs="Arial"/>
          <w:color w:val="808080" w:themeColor="background1" w:themeShade="80"/>
          <w:sz w:val="15"/>
          <w:szCs w:val="16"/>
        </w:rPr>
        <w:t># # #</w:t>
      </w:r>
    </w:p>
    <w:p w14:paraId="435E9F5A" w14:textId="77777777" w:rsidR="002078F0" w:rsidRPr="00E749F8" w:rsidRDefault="002078F0" w:rsidP="00F61E29">
      <w:pPr>
        <w:jc w:val="center"/>
        <w:rPr>
          <w:rFonts w:ascii="Arial" w:hAnsi="Arial" w:cs="Arial"/>
          <w:color w:val="808080" w:themeColor="background1" w:themeShade="80"/>
          <w:sz w:val="15"/>
          <w:szCs w:val="16"/>
        </w:rPr>
      </w:pPr>
    </w:p>
    <w:p w14:paraId="20EBD24E" w14:textId="77777777" w:rsidR="00341A50" w:rsidRPr="00E749F8" w:rsidRDefault="00341A50" w:rsidP="00341A50">
      <w:pPr>
        <w:rPr>
          <w:rFonts w:ascii="Arial" w:hAnsi="Arial" w:cs="Arial"/>
          <w:b/>
          <w:color w:val="808080" w:themeColor="background1" w:themeShade="80"/>
          <w:sz w:val="15"/>
          <w:szCs w:val="17"/>
        </w:rPr>
      </w:pPr>
      <w:r w:rsidRPr="00E749F8">
        <w:rPr>
          <w:rFonts w:ascii="Arial" w:hAnsi="Arial" w:cs="Arial"/>
          <w:b/>
          <w:i/>
          <w:iCs/>
          <w:color w:val="808080" w:themeColor="background1" w:themeShade="80"/>
          <w:sz w:val="15"/>
          <w:szCs w:val="17"/>
        </w:rPr>
        <w:t>Autodesk is a registered trademark of Autodesk, Inc., and/or its subsidiaries and/or affiliates in the USA and/or other countries.</w:t>
      </w:r>
    </w:p>
    <w:p w14:paraId="11EFABA4" w14:textId="77777777" w:rsidR="00341A50" w:rsidRDefault="00341A50" w:rsidP="00F61E29">
      <w:pPr>
        <w:outlineLvl w:val="0"/>
        <w:rPr>
          <w:rFonts w:ascii="Arial" w:hAnsi="Arial" w:cs="Arial"/>
          <w:b/>
          <w:color w:val="808080" w:themeColor="background1" w:themeShade="80"/>
          <w:sz w:val="15"/>
          <w:szCs w:val="16"/>
        </w:rPr>
      </w:pPr>
    </w:p>
    <w:p w14:paraId="56D02AFB" w14:textId="77777777" w:rsidR="00F61E29" w:rsidRPr="00E749F8" w:rsidRDefault="00F61E29" w:rsidP="00F61E29">
      <w:pPr>
        <w:outlineLvl w:val="0"/>
        <w:rPr>
          <w:rFonts w:ascii="Arial" w:hAnsi="Arial" w:cs="Arial"/>
          <w:b/>
          <w:color w:val="808080" w:themeColor="background1" w:themeShade="80"/>
          <w:sz w:val="15"/>
          <w:szCs w:val="16"/>
        </w:rPr>
      </w:pPr>
      <w:r w:rsidRPr="00E749F8">
        <w:rPr>
          <w:rFonts w:ascii="Arial" w:hAnsi="Arial" w:cs="Arial"/>
          <w:b/>
          <w:color w:val="808080" w:themeColor="background1" w:themeShade="80"/>
          <w:sz w:val="15"/>
          <w:szCs w:val="16"/>
        </w:rPr>
        <w:t xml:space="preserve">Press Contact: </w:t>
      </w:r>
    </w:p>
    <w:p w14:paraId="0B0DC8C3" w14:textId="77777777" w:rsidR="00F61E29" w:rsidRPr="00E749F8" w:rsidRDefault="00F61E29" w:rsidP="00F61E29">
      <w:pPr>
        <w:outlineLvl w:val="0"/>
        <w:rPr>
          <w:rFonts w:ascii="Arial" w:hAnsi="Arial" w:cs="Arial"/>
          <w:bCs/>
          <w:color w:val="808080" w:themeColor="background1" w:themeShade="80"/>
          <w:sz w:val="15"/>
          <w:szCs w:val="16"/>
        </w:rPr>
      </w:pPr>
      <w:r w:rsidRPr="00E749F8">
        <w:rPr>
          <w:rFonts w:ascii="Arial" w:hAnsi="Arial" w:cs="Arial"/>
          <w:bCs/>
          <w:color w:val="808080" w:themeColor="background1" w:themeShade="80"/>
          <w:sz w:val="15"/>
          <w:szCs w:val="16"/>
        </w:rPr>
        <w:t>Topcon Positioning Group</w:t>
      </w:r>
      <w:bookmarkStart w:id="0" w:name="_GoBack"/>
      <w:bookmarkEnd w:id="0"/>
    </w:p>
    <w:p w14:paraId="2ADB91B2" w14:textId="77777777" w:rsidR="00F61E29" w:rsidRPr="00E749F8" w:rsidRDefault="00431B6C" w:rsidP="00F61E29">
      <w:pPr>
        <w:outlineLvl w:val="0"/>
        <w:rPr>
          <w:rFonts w:ascii="Arial" w:hAnsi="Arial" w:cs="Arial"/>
          <w:bCs/>
          <w:color w:val="808080" w:themeColor="background1" w:themeShade="80"/>
          <w:sz w:val="15"/>
          <w:szCs w:val="16"/>
          <w:lang w:val="it-IT"/>
        </w:rPr>
      </w:pPr>
      <w:hyperlink r:id="rId14" w:history="1">
        <w:r w:rsidR="00F61E29" w:rsidRPr="00E749F8">
          <w:rPr>
            <w:rStyle w:val="Hyperlink"/>
            <w:rFonts w:ascii="Arial" w:hAnsi="Arial" w:cs="Arial"/>
            <w:bCs/>
            <w:color w:val="808080" w:themeColor="background1" w:themeShade="80"/>
            <w:sz w:val="15"/>
            <w:szCs w:val="16"/>
            <w:lang w:val="it-IT"/>
          </w:rPr>
          <w:t>CorpComm@topcon.com</w:t>
        </w:r>
      </w:hyperlink>
    </w:p>
    <w:p w14:paraId="0D6F45E8" w14:textId="12710AC9" w:rsidR="00341A50" w:rsidRDefault="00FD1C0E" w:rsidP="00FD1C0E">
      <w:pPr>
        <w:outlineLvl w:val="0"/>
        <w:rPr>
          <w:rFonts w:ascii="Arial" w:hAnsi="Arial" w:cs="Arial"/>
          <w:bCs/>
          <w:color w:val="808080" w:themeColor="background1" w:themeShade="80"/>
          <w:sz w:val="15"/>
          <w:szCs w:val="16"/>
        </w:rPr>
      </w:pPr>
      <w:r w:rsidRPr="00E749F8">
        <w:rPr>
          <w:rFonts w:ascii="Arial" w:hAnsi="Arial" w:cs="Arial"/>
          <w:bCs/>
          <w:color w:val="808080" w:themeColor="background1" w:themeShade="80"/>
          <w:sz w:val="15"/>
          <w:szCs w:val="16"/>
        </w:rPr>
        <w:t>Sta</w:t>
      </w:r>
      <w:r w:rsidR="00341A50">
        <w:rPr>
          <w:rFonts w:ascii="Arial" w:hAnsi="Arial" w:cs="Arial"/>
          <w:bCs/>
          <w:color w:val="808080" w:themeColor="background1" w:themeShade="80"/>
          <w:sz w:val="15"/>
          <w:szCs w:val="16"/>
        </w:rPr>
        <w:t>ci Fitzgerald, +1 925-245-8610</w:t>
      </w:r>
    </w:p>
    <w:p w14:paraId="00D99A4B" w14:textId="77777777" w:rsidR="00341A50" w:rsidRPr="00E749F8" w:rsidRDefault="00341A50" w:rsidP="00FD1C0E">
      <w:pPr>
        <w:outlineLvl w:val="0"/>
        <w:rPr>
          <w:rFonts w:ascii="Arial" w:hAnsi="Arial" w:cs="Arial"/>
          <w:bCs/>
          <w:color w:val="808080" w:themeColor="background1" w:themeShade="80"/>
          <w:sz w:val="15"/>
          <w:szCs w:val="16"/>
        </w:rPr>
      </w:pPr>
    </w:p>
    <w:sectPr w:rsidR="00341A50" w:rsidRPr="00E749F8" w:rsidSect="009C7717">
      <w:headerReference w:type="first" r:id="rId15"/>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5778E" w14:textId="77777777" w:rsidR="00431B6C" w:rsidRDefault="00431B6C">
      <w:r>
        <w:separator/>
      </w:r>
    </w:p>
  </w:endnote>
  <w:endnote w:type="continuationSeparator" w:id="0">
    <w:p w14:paraId="7D3BE50E" w14:textId="77777777" w:rsidR="00431B6C" w:rsidRDefault="00431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3B051" w14:textId="77777777" w:rsidR="00431B6C" w:rsidRDefault="00431B6C">
      <w:r>
        <w:separator/>
      </w:r>
    </w:p>
  </w:footnote>
  <w:footnote w:type="continuationSeparator" w:id="0">
    <w:p w14:paraId="78884B14" w14:textId="77777777" w:rsidR="00431B6C" w:rsidRDefault="00431B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77523"/>
    <w:rsid w:val="001855FB"/>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1A5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1B6C"/>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8710D"/>
    <w:rsid w:val="00587A94"/>
    <w:rsid w:val="005A23A0"/>
    <w:rsid w:val="005A4B01"/>
    <w:rsid w:val="005C44F8"/>
    <w:rsid w:val="005C48E8"/>
    <w:rsid w:val="005C7305"/>
    <w:rsid w:val="005F0C86"/>
    <w:rsid w:val="005F189A"/>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B35F4"/>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75F7"/>
    <w:rsid w:val="008702B4"/>
    <w:rsid w:val="00870D37"/>
    <w:rsid w:val="008802C4"/>
    <w:rsid w:val="00882DC6"/>
    <w:rsid w:val="00891FF7"/>
    <w:rsid w:val="008962D4"/>
    <w:rsid w:val="008A3E7D"/>
    <w:rsid w:val="008C06FF"/>
    <w:rsid w:val="008C1746"/>
    <w:rsid w:val="008C3A35"/>
    <w:rsid w:val="008D0202"/>
    <w:rsid w:val="008F54A3"/>
    <w:rsid w:val="009115C1"/>
    <w:rsid w:val="00911FD9"/>
    <w:rsid w:val="009434F4"/>
    <w:rsid w:val="00953F3D"/>
    <w:rsid w:val="0095420D"/>
    <w:rsid w:val="00956EF7"/>
    <w:rsid w:val="009666D5"/>
    <w:rsid w:val="00975493"/>
    <w:rsid w:val="009914F1"/>
    <w:rsid w:val="00995B68"/>
    <w:rsid w:val="009964DE"/>
    <w:rsid w:val="009C3261"/>
    <w:rsid w:val="009C7717"/>
    <w:rsid w:val="009E2FE3"/>
    <w:rsid w:val="00A06D66"/>
    <w:rsid w:val="00A232B3"/>
    <w:rsid w:val="00A276D5"/>
    <w:rsid w:val="00A34C2B"/>
    <w:rsid w:val="00A36D45"/>
    <w:rsid w:val="00A47E24"/>
    <w:rsid w:val="00A57BD4"/>
    <w:rsid w:val="00A60195"/>
    <w:rsid w:val="00A9365C"/>
    <w:rsid w:val="00A95736"/>
    <w:rsid w:val="00A96AA8"/>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736"/>
    <w:rsid w:val="00B92C56"/>
    <w:rsid w:val="00B92CFE"/>
    <w:rsid w:val="00BA6826"/>
    <w:rsid w:val="00BB19B5"/>
    <w:rsid w:val="00BB25D3"/>
    <w:rsid w:val="00BB4455"/>
    <w:rsid w:val="00BB78BB"/>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1453"/>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1947"/>
    <w:rsid w:val="00E16158"/>
    <w:rsid w:val="00E32B47"/>
    <w:rsid w:val="00E54648"/>
    <w:rsid w:val="00E74974"/>
    <w:rsid w:val="00E749F8"/>
    <w:rsid w:val="00E95EFF"/>
    <w:rsid w:val="00EA49B1"/>
    <w:rsid w:val="00EB1000"/>
    <w:rsid w:val="00EC3044"/>
    <w:rsid w:val="00EC371D"/>
    <w:rsid w:val="00EC60E2"/>
    <w:rsid w:val="00ED70D3"/>
    <w:rsid w:val="00EE1C16"/>
    <w:rsid w:val="00EE33D2"/>
    <w:rsid w:val="00EF4409"/>
    <w:rsid w:val="00F126AE"/>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software-solutions/mass-data-mapping/magnet-collage" TargetMode="External"/><Relationship Id="rId10" Type="http://schemas.openxmlformats.org/officeDocument/2006/relationships/hyperlink" Target="https://www.topconpositioning.com/mass-data-and-volume-collection/mobile-mapping/ip-s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8B2A7-DF99-EA44-A066-B20D69B22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481</Words>
  <Characters>2743</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3218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Staci Fitzgerald</cp:lastModifiedBy>
  <cp:revision>5</cp:revision>
  <cp:lastPrinted>2015-08-13T12:52:00Z</cp:lastPrinted>
  <dcterms:created xsi:type="dcterms:W3CDTF">2018-10-09T19:41:00Z</dcterms:created>
  <dcterms:modified xsi:type="dcterms:W3CDTF">2018-10-09T23:03:00Z</dcterms:modified>
  <cp:category/>
</cp:coreProperties>
</file>